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hint="eastAsia"/>
          <w:b/>
          <w:sz w:val="28"/>
          <w:szCs w:val="28"/>
        </w:rPr>
      </w:pPr>
      <w:r>
        <w:rPr>
          <w:rFonts w:hint="eastAsia"/>
          <w:b/>
          <w:sz w:val="28"/>
          <w:szCs w:val="28"/>
          <w:lang w:val="en-US" w:eastAsia="zh-CN"/>
        </w:rPr>
        <w:t>网站系统</w:t>
      </w:r>
      <w:r>
        <w:rPr>
          <w:rFonts w:hint="eastAsia"/>
          <w:b/>
          <w:sz w:val="28"/>
          <w:szCs w:val="28"/>
        </w:rPr>
        <w:t>信息安全等级保护服务项目招标需求</w:t>
      </w:r>
    </w:p>
    <w:p>
      <w:pPr>
        <w:pStyle w:val="style0"/>
        <w:outlineLvl w:val="0"/>
        <w:rPr>
          <w:rFonts w:hint="eastAsia"/>
          <w:b/>
          <w:sz w:val="24"/>
          <w:szCs w:val="24"/>
        </w:rPr>
      </w:pPr>
      <w:r>
        <w:rPr>
          <w:rFonts w:hint="eastAsia"/>
          <w:b/>
          <w:sz w:val="24"/>
          <w:szCs w:val="24"/>
        </w:rPr>
        <w:t>一、采购需求：</w:t>
      </w:r>
    </w:p>
    <w:p>
      <w:pPr>
        <w:pStyle w:val="style0"/>
        <w:rPr/>
      </w:pPr>
      <w:r>
        <w:rPr>
          <w:rFonts w:ascii="宋体" w:cs="宋体" w:hAnsi="宋体" w:hint="eastAsia"/>
          <w:bCs/>
          <w:kern w:val="0"/>
          <w:sz w:val="24"/>
          <w:szCs w:val="24"/>
        </w:rPr>
        <w:t>说明：以下需求参数中带★项为必须满足项，不满足则导致废标。</w:t>
      </w:r>
    </w:p>
    <w:p>
      <w:pPr>
        <w:pStyle w:val="style0"/>
        <w:rPr/>
      </w:pPr>
    </w:p>
    <w:tbl>
      <w:tblPr>
        <w:tblStyle w:val="style105"/>
        <w:tblW w:w="90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68"/>
        <w:gridCol w:w="1417"/>
        <w:gridCol w:w="6038"/>
        <w:gridCol w:w="520"/>
        <w:gridCol w:w="520"/>
      </w:tblGrid>
      <w:tr>
        <w:trPr>
          <w:trHeight w:val="642" w:hRule="atLeast"/>
        </w:trPr>
        <w:tc>
          <w:tcPr>
            <w:tcW w:w="568" w:type="dxa"/>
            <w:tcBorders/>
            <w:shd w:val="clear" w:color="000000" w:fill="ffffff"/>
            <w:vAlign w:val="center"/>
          </w:tcPr>
          <w:p>
            <w:pPr>
              <w:pStyle w:val="style0"/>
              <w:widowControl/>
              <w:jc w:val="center"/>
              <w:rPr>
                <w:rFonts w:ascii="宋体" w:cs="宋体" w:hAnsi="宋体"/>
                <w:b/>
                <w:bCs/>
                <w:kern w:val="0"/>
                <w:szCs w:val="21"/>
              </w:rPr>
            </w:pPr>
            <w:r>
              <w:rPr>
                <w:rFonts w:ascii="宋体" w:cs="宋体" w:hAnsi="宋体" w:hint="eastAsia"/>
                <w:b/>
                <w:bCs/>
                <w:kern w:val="0"/>
                <w:szCs w:val="21"/>
              </w:rPr>
              <w:t>序</w:t>
            </w:r>
          </w:p>
        </w:tc>
        <w:tc>
          <w:tcPr>
            <w:tcW w:w="1417" w:type="dxa"/>
            <w:tcBorders/>
            <w:shd w:val="clear" w:color="000000" w:fill="ffffff"/>
            <w:vAlign w:val="center"/>
          </w:tcPr>
          <w:p>
            <w:pPr>
              <w:pStyle w:val="style0"/>
              <w:widowControl/>
              <w:jc w:val="center"/>
              <w:rPr>
                <w:rFonts w:ascii="宋体" w:cs="宋体" w:hAnsi="宋体" w:hint="eastAsia"/>
                <w:b/>
                <w:bCs/>
                <w:kern w:val="0"/>
                <w:szCs w:val="21"/>
              </w:rPr>
            </w:pPr>
            <w:r>
              <w:rPr>
                <w:rFonts w:ascii="宋体" w:cs="宋体" w:hAnsi="宋体" w:hint="eastAsia"/>
                <w:b/>
                <w:bCs/>
                <w:kern w:val="0"/>
                <w:szCs w:val="21"/>
              </w:rPr>
              <w:t>服务内容</w:t>
            </w:r>
          </w:p>
        </w:tc>
        <w:tc>
          <w:tcPr>
            <w:tcW w:w="6038" w:type="dxa"/>
            <w:tcBorders/>
            <w:shd w:val="clear" w:color="000000" w:fill="ffffff"/>
            <w:vAlign w:val="center"/>
          </w:tcPr>
          <w:p>
            <w:pPr>
              <w:pStyle w:val="style0"/>
              <w:widowControl/>
              <w:jc w:val="center"/>
              <w:rPr>
                <w:rFonts w:ascii="宋体" w:cs="宋体" w:hAnsi="宋体" w:hint="eastAsia"/>
                <w:b/>
                <w:bCs/>
                <w:kern w:val="0"/>
                <w:szCs w:val="21"/>
              </w:rPr>
            </w:pPr>
            <w:r>
              <w:rPr>
                <w:rFonts w:ascii="宋体" w:cs="宋体" w:hAnsi="宋体" w:hint="eastAsia"/>
                <w:b/>
                <w:bCs/>
                <w:kern w:val="0"/>
                <w:szCs w:val="21"/>
              </w:rPr>
              <w:t>服务要求</w:t>
            </w:r>
          </w:p>
        </w:tc>
        <w:tc>
          <w:tcPr>
            <w:tcW w:w="520" w:type="dxa"/>
            <w:tcBorders/>
            <w:shd w:val="clear" w:color="000000" w:fill="ffffff"/>
            <w:vAlign w:val="center"/>
          </w:tcPr>
          <w:p>
            <w:pPr>
              <w:pStyle w:val="style0"/>
              <w:widowControl/>
              <w:jc w:val="center"/>
              <w:rPr>
                <w:rFonts w:ascii="宋体" w:cs="宋体" w:hAnsi="宋体"/>
                <w:b/>
                <w:bCs/>
                <w:kern w:val="0"/>
                <w:szCs w:val="21"/>
              </w:rPr>
            </w:pPr>
            <w:r>
              <w:rPr>
                <w:rFonts w:ascii="宋体" w:cs="宋体" w:hAnsi="宋体" w:hint="eastAsia"/>
                <w:b/>
                <w:bCs/>
                <w:kern w:val="0"/>
                <w:szCs w:val="21"/>
              </w:rPr>
              <w:t>数量</w:t>
            </w:r>
          </w:p>
        </w:tc>
        <w:tc>
          <w:tcPr>
            <w:tcW w:w="520" w:type="dxa"/>
            <w:tcBorders/>
            <w:shd w:val="clear" w:color="000000" w:fill="ffffff"/>
            <w:vAlign w:val="center"/>
          </w:tcPr>
          <w:p>
            <w:pPr>
              <w:pStyle w:val="style0"/>
              <w:widowControl/>
              <w:jc w:val="center"/>
              <w:rPr>
                <w:rFonts w:ascii="宋体" w:cs="宋体" w:hAnsi="宋体"/>
                <w:b/>
                <w:bCs/>
                <w:kern w:val="0"/>
                <w:szCs w:val="21"/>
              </w:rPr>
            </w:pPr>
            <w:r>
              <w:rPr>
                <w:rFonts w:ascii="宋体" w:cs="宋体" w:hAnsi="宋体" w:hint="eastAsia"/>
                <w:b/>
                <w:bCs/>
                <w:kern w:val="0"/>
                <w:szCs w:val="21"/>
              </w:rPr>
              <w:t>单位</w:t>
            </w:r>
          </w:p>
        </w:tc>
      </w:tr>
      <w:tr>
        <w:tblPrEx/>
        <w:trPr>
          <w:trHeight w:val="699" w:hRule="atLeast"/>
        </w:trPr>
        <w:tc>
          <w:tcPr>
            <w:tcW w:w="568" w:type="dxa"/>
            <w:tcBorders/>
            <w:shd w:val="clear" w:color="000000" w:fill="ffffff"/>
            <w:vAlign w:val="center"/>
          </w:tcPr>
          <w:p>
            <w:pPr>
              <w:pStyle w:val="style0"/>
              <w:widowControl/>
              <w:jc w:val="center"/>
              <w:rPr>
                <w:rFonts w:ascii="宋体" w:cs="Arial" w:hAnsi="宋体"/>
                <w:kern w:val="0"/>
                <w:szCs w:val="21"/>
              </w:rPr>
            </w:pPr>
            <w:r>
              <w:rPr>
                <w:rFonts w:ascii="宋体" w:cs="Arial" w:hAnsi="宋体"/>
                <w:kern w:val="0"/>
                <w:szCs w:val="21"/>
              </w:rPr>
              <w:t>1</w:t>
            </w:r>
          </w:p>
        </w:tc>
        <w:tc>
          <w:tcPr>
            <w:tcW w:w="1417" w:type="dxa"/>
            <w:tcBorders/>
            <w:shd w:val="clear" w:color="000000" w:fill="ffffff"/>
            <w:vAlign w:val="center"/>
          </w:tcPr>
          <w:p>
            <w:pPr>
              <w:pStyle w:val="style0"/>
              <w:widowControl/>
              <w:jc w:val="left"/>
              <w:rPr>
                <w:rFonts w:ascii="宋体" w:cs="Arial" w:hAnsi="宋体" w:hint="eastAsia"/>
                <w:kern w:val="0"/>
                <w:szCs w:val="21"/>
              </w:rPr>
            </w:pPr>
            <w:r>
              <w:rPr>
                <w:rFonts w:ascii="宋体" w:cs="Arial" w:hAnsi="宋体" w:hint="eastAsia"/>
                <w:kern w:val="0"/>
                <w:szCs w:val="21"/>
                <w:lang w:val="en-US" w:eastAsia="zh-CN"/>
              </w:rPr>
              <w:t>网站</w:t>
            </w:r>
            <w:r>
              <w:rPr>
                <w:rFonts w:ascii="宋体" w:cs="Arial" w:hAnsi="宋体" w:hint="eastAsia"/>
                <w:kern w:val="0"/>
                <w:szCs w:val="21"/>
              </w:rPr>
              <w:t>系统</w:t>
            </w:r>
            <w:r>
              <w:rPr>
                <w:rFonts w:ascii="宋体" w:cs="Arial" w:hAnsi="宋体" w:hint="eastAsia"/>
                <w:kern w:val="0"/>
                <w:szCs w:val="21"/>
                <w:lang w:val="en-US" w:eastAsia="zh-CN"/>
              </w:rPr>
              <w:t>信息安全</w:t>
            </w:r>
            <w:r>
              <w:rPr>
                <w:rFonts w:ascii="宋体" w:cs="Arial" w:hAnsi="宋体" w:hint="eastAsia"/>
                <w:kern w:val="0"/>
                <w:szCs w:val="21"/>
              </w:rPr>
              <w:t>等级保护服务</w:t>
            </w:r>
          </w:p>
        </w:tc>
        <w:tc>
          <w:tcPr>
            <w:tcW w:w="6038" w:type="dxa"/>
            <w:tcBorders/>
            <w:shd w:val="clear" w:color="auto" w:fill="auto"/>
            <w:vAlign w:val="center"/>
          </w:tcPr>
          <w:p>
            <w:pPr>
              <w:pStyle w:val="style0"/>
              <w:widowControl/>
              <w:jc w:val="left"/>
              <w:rPr>
                <w:rFonts w:ascii="宋体" w:cs="宋体" w:hAnsi="宋体" w:hint="eastAsia"/>
                <w:szCs w:val="21"/>
              </w:rPr>
            </w:pPr>
            <w:r>
              <w:rPr>
                <w:rFonts w:ascii="宋体" w:cs="宋体" w:hAnsi="宋体" w:hint="eastAsia"/>
                <w:szCs w:val="21"/>
                <w:lang w:val="en-US" w:eastAsia="zh-CN"/>
              </w:rPr>
              <w:t>1</w:t>
            </w:r>
            <w:r>
              <w:rPr>
                <w:rFonts w:ascii="宋体" w:cs="宋体" w:hAnsi="宋体" w:hint="eastAsia"/>
                <w:szCs w:val="21"/>
              </w:rPr>
              <w:t>、信息系统等级保护测评</w:t>
            </w:r>
          </w:p>
          <w:p>
            <w:pPr>
              <w:pStyle w:val="style0"/>
              <w:widowControl/>
              <w:jc w:val="left"/>
              <w:rPr>
                <w:rFonts w:ascii="宋体" w:cs="宋体" w:hAnsi="宋体" w:hint="eastAsia"/>
                <w:szCs w:val="21"/>
              </w:rPr>
            </w:pPr>
            <w:r>
              <w:rPr>
                <w:rFonts w:ascii="宋体" w:cs="宋体" w:hAnsi="宋体" w:hint="eastAsia"/>
                <w:szCs w:val="21"/>
              </w:rPr>
              <w:t>（1）针对已完成备案的二级及以上信息系统，安排经公安网监部门认可的信息安全等级保护专业测评机构进行信息系统安全等级测评，制作等级保护测评工具，填报等级保护测评调研采集表，依托等级保护测评系统，从信息安全管理和技术两方面开展现场测评工作，协助学校准备所有测评环节所需资料，协调测评机构顺利完成等级测评，取得《信息安全等级保护测评报告书》原件。</w:t>
            </w:r>
          </w:p>
          <w:p>
            <w:pPr>
              <w:pStyle w:val="style0"/>
              <w:widowControl/>
              <w:jc w:val="left"/>
              <w:rPr>
                <w:rFonts w:ascii="宋体" w:cs="宋体" w:hAnsi="宋体" w:hint="eastAsia"/>
                <w:szCs w:val="21"/>
              </w:rPr>
            </w:pPr>
            <w:r>
              <w:rPr>
                <w:rFonts w:ascii="宋体" w:cs="宋体" w:hAnsi="宋体" w:hint="eastAsia"/>
                <w:szCs w:val="21"/>
                <w:lang w:val="en-US" w:eastAsia="zh-CN"/>
              </w:rPr>
              <w:t>2</w:t>
            </w:r>
            <w:r>
              <w:rPr>
                <w:rFonts w:ascii="宋体" w:cs="宋体" w:hAnsi="宋体" w:hint="eastAsia"/>
                <w:szCs w:val="21"/>
              </w:rPr>
              <w:t>、信息系统等级保护测评审查评估</w:t>
            </w:r>
          </w:p>
          <w:p>
            <w:pPr>
              <w:pStyle w:val="style0"/>
              <w:widowControl/>
              <w:jc w:val="left"/>
              <w:rPr>
                <w:rFonts w:ascii="宋体" w:cs="宋体" w:hAnsi="宋体" w:hint="eastAsia"/>
                <w:szCs w:val="21"/>
              </w:rPr>
            </w:pPr>
            <w:r>
              <w:rPr>
                <w:rFonts w:ascii="宋体" w:cs="宋体" w:hAnsi="宋体" w:hint="eastAsia"/>
                <w:szCs w:val="21"/>
              </w:rPr>
              <w:t>（1）根据信息系统安全等级测评现场工作内容和测评报告结果，协调办理公安网监部门测评审查评估，确认认可等级测评报告，最终取得公安网监和信息安全等级保护主管部门盖章确认的《信息安全等级测评结果通知书》原件。</w:t>
            </w:r>
          </w:p>
          <w:p>
            <w:pPr>
              <w:pStyle w:val="style0"/>
              <w:widowControl/>
              <w:jc w:val="left"/>
              <w:rPr>
                <w:rFonts w:ascii="宋体" w:cs="宋体" w:hAnsi="宋体" w:hint="eastAsia"/>
                <w:szCs w:val="21"/>
              </w:rPr>
            </w:pPr>
            <w:r>
              <w:rPr>
                <w:rFonts w:ascii="宋体" w:cs="宋体" w:hAnsi="宋体" w:hint="eastAsia"/>
                <w:szCs w:val="21"/>
                <w:lang w:val="en-US" w:eastAsia="zh-CN"/>
              </w:rPr>
              <w:t>3</w:t>
            </w:r>
            <w:r>
              <w:rPr>
                <w:rFonts w:ascii="宋体" w:cs="宋体" w:hAnsi="宋体" w:hint="eastAsia"/>
                <w:szCs w:val="21"/>
              </w:rPr>
              <w:t>、信息系统等级保护整改服务</w:t>
            </w:r>
          </w:p>
          <w:p>
            <w:pPr>
              <w:pStyle w:val="style0"/>
              <w:rPr>
                <w:rFonts w:ascii="宋体" w:cs="宋体" w:hAnsi="宋体" w:hint="eastAsia"/>
                <w:szCs w:val="21"/>
              </w:rPr>
            </w:pPr>
            <w:r>
              <w:rPr>
                <w:rFonts w:ascii="宋体" w:cs="宋体" w:hAnsi="宋体" w:hint="eastAsia"/>
                <w:szCs w:val="21"/>
              </w:rPr>
              <w:t>（1）根据《等级测评报告书》和《等级测评结果通知书》的内容，针对其中不符合项，按照信息安全等级保护国标要求，遵循学校信息化及信息安全的实际管理需求，设计信息安全体系整体整改设计方案，协助并指导学校进行不符合项的管理整改与技术加固工作，力争下年度等保测评结论达到“基本符合”标准。</w:t>
            </w:r>
          </w:p>
          <w:p>
            <w:pPr>
              <w:pStyle w:val="style0"/>
              <w:widowControl/>
              <w:jc w:val="left"/>
              <w:rPr>
                <w:rFonts w:ascii="宋体" w:cs="宋体" w:hAnsi="宋体" w:hint="eastAsia"/>
                <w:szCs w:val="21"/>
              </w:rPr>
            </w:pPr>
            <w:r>
              <w:rPr>
                <w:rFonts w:ascii="宋体" w:cs="宋体" w:hAnsi="宋体" w:hint="eastAsia"/>
                <w:szCs w:val="21"/>
              </w:rPr>
              <w:t>（2）全面协助学校应对2017年度公安网监部门和上级主管部门开展的信息安全等级保护专项检查工作，整理全套备检材料，提前做好现场检查迎检工作。</w:t>
            </w:r>
          </w:p>
          <w:p>
            <w:pPr>
              <w:pStyle w:val="style0"/>
              <w:widowControl/>
              <w:jc w:val="left"/>
              <w:rPr>
                <w:rFonts w:ascii="宋体" w:hAnsi="宋体" w:hint="eastAsia"/>
                <w:bCs/>
                <w:szCs w:val="21"/>
              </w:rPr>
            </w:pPr>
            <w:r>
              <w:rPr>
                <w:rFonts w:ascii="宋体" w:cs="宋体" w:hAnsi="宋体" w:hint="eastAsia"/>
                <w:szCs w:val="21"/>
              </w:rPr>
              <w:t>（3）</w:t>
            </w:r>
            <w:r>
              <w:rPr>
                <w:rFonts w:hint="eastAsia"/>
                <w:szCs w:val="21"/>
              </w:rPr>
              <w:t>主机安全加固整改优化服务：</w:t>
            </w:r>
            <w:r>
              <w:rPr>
                <w:rFonts w:ascii="宋体" w:hAnsi="宋体" w:hint="eastAsia"/>
                <w:bCs/>
                <w:szCs w:val="21"/>
              </w:rPr>
              <w:t>通过</w:t>
            </w:r>
            <w:r>
              <w:rPr>
                <w:rFonts w:ascii="宋体" w:cs="宋体" w:hAnsi="宋体" w:hint="eastAsia"/>
                <w:kern w:val="0"/>
                <w:szCs w:val="21"/>
              </w:rPr>
              <w:t>主机安全加固优化系统</w:t>
            </w:r>
            <w:r>
              <w:rPr>
                <w:rFonts w:ascii="宋体" w:hAnsi="宋体" w:hint="eastAsia"/>
                <w:bCs/>
                <w:szCs w:val="21"/>
              </w:rPr>
              <w:t>对学校网站服务器主机进行安全加固优化服务，要求</w:t>
            </w:r>
            <w:r>
              <w:rPr>
                <w:rFonts w:ascii="宋体" w:hAnsi="宋体" w:hint="eastAsia"/>
                <w:szCs w:val="21"/>
              </w:rPr>
              <w:t>符合</w:t>
            </w:r>
            <w:r>
              <w:rPr>
                <w:rFonts w:ascii="宋体" w:hAnsi="宋体" w:hint="eastAsia"/>
                <w:bCs/>
                <w:szCs w:val="21"/>
              </w:rPr>
              <w:t>国家信息安全等级保护国标《信息系统安全等级保护基本要求》（</w:t>
            </w:r>
            <w:r>
              <w:rPr>
                <w:rFonts w:ascii="宋体" w:hAnsi="宋体"/>
                <w:bCs/>
                <w:szCs w:val="21"/>
              </w:rPr>
              <w:t>GB</w:t>
            </w:r>
            <w:r>
              <w:rPr>
                <w:rFonts w:ascii="宋体" w:hAnsi="宋体" w:hint="eastAsia"/>
                <w:bCs/>
                <w:szCs w:val="21"/>
              </w:rPr>
              <w:t>/</w:t>
            </w:r>
            <w:r>
              <w:rPr>
                <w:rFonts w:ascii="宋体" w:hAnsi="宋体"/>
                <w:bCs/>
                <w:szCs w:val="21"/>
              </w:rPr>
              <w:t>T22239-2008</w:t>
            </w:r>
            <w:r>
              <w:rPr>
                <w:rFonts w:ascii="宋体" w:hAnsi="宋体" w:hint="eastAsia"/>
                <w:bCs/>
                <w:szCs w:val="21"/>
              </w:rPr>
              <w:t>）和《信息系统等级保护安全设计技术要求》（GB/T25070-2010）关于主机安全部分的功能和技术要求，具体服务功能要求如下：</w:t>
            </w:r>
          </w:p>
          <w:p>
            <w:pPr>
              <w:pStyle w:val="style0"/>
              <w:numPr>
                <w:ilvl w:val="0"/>
                <w:numId w:val="1"/>
              </w:numPr>
              <w:tabs>
                <w:tab w:val="left" w:leader="none" w:pos="420"/>
              </w:tabs>
              <w:snapToGrid w:val="false"/>
              <w:rPr>
                <w:rFonts w:ascii="宋体" w:hAnsi="宋体" w:hint="eastAsia"/>
                <w:bCs/>
                <w:szCs w:val="21"/>
              </w:rPr>
            </w:pPr>
            <w:r>
              <w:rPr>
                <w:rFonts w:ascii="宋体" w:cs="宋体" w:hAnsi="宋体" w:hint="eastAsia"/>
                <w:kern w:val="0"/>
                <w:szCs w:val="21"/>
              </w:rPr>
              <w:t>主机安全加固优化系统</w:t>
            </w:r>
            <w:r>
              <w:rPr>
                <w:rFonts w:ascii="宋体" w:hAnsi="宋体" w:hint="eastAsia"/>
                <w:bCs/>
                <w:szCs w:val="21"/>
              </w:rPr>
              <w:t>并非传统杀毒软件或桌面管理类软件，而是主动防御式的主机可信安全加固系统产品。采用可信计算技术、强制访问控制技术和主动防御机制，在不改变原有操作系统应用的前提下，对终端操作系统进行安全加固。安全加固功能应建立于操作系统内核级，杜绝旁路和隐通道，增强其安全性。对文件的保护、应用程序的控制等安全手段应从操作系统内核着手。安全模块应随操作系统一起加载，有效防止安全机制被旁路的可能。</w:t>
            </w:r>
          </w:p>
          <w:p>
            <w:pPr>
              <w:pStyle w:val="style0"/>
              <w:numPr>
                <w:ilvl w:val="0"/>
                <w:numId w:val="1"/>
              </w:numPr>
              <w:tabs>
                <w:tab w:val="left" w:leader="none" w:pos="420"/>
              </w:tabs>
              <w:snapToGrid w:val="false"/>
              <w:rPr>
                <w:rFonts w:ascii="宋体" w:hAnsi="宋体" w:hint="eastAsia"/>
                <w:bCs/>
                <w:szCs w:val="21"/>
              </w:rPr>
            </w:pPr>
            <w:r>
              <w:rPr>
                <w:rFonts w:ascii="宋体" w:hAnsi="宋体" w:hint="eastAsia"/>
                <w:bCs/>
                <w:szCs w:val="21"/>
              </w:rPr>
              <w:t>支持Windows 2000/2003/2008/XP操作系统。</w:t>
            </w:r>
          </w:p>
          <w:p>
            <w:pPr>
              <w:pStyle w:val="style0"/>
              <w:numPr>
                <w:ilvl w:val="0"/>
                <w:numId w:val="1"/>
              </w:numPr>
              <w:tabs>
                <w:tab w:val="left" w:leader="none" w:pos="420"/>
              </w:tabs>
              <w:snapToGrid w:val="false"/>
              <w:rPr>
                <w:rFonts w:ascii="宋体" w:cs="宋体" w:hAnsi="宋体" w:hint="eastAsia"/>
                <w:bCs/>
                <w:kern w:val="0"/>
                <w:szCs w:val="21"/>
              </w:rPr>
            </w:pPr>
            <w:r>
              <w:rPr>
                <w:rFonts w:ascii="宋体" w:cs="宋体" w:hAnsi="宋体" w:hint="eastAsia"/>
                <w:bCs/>
                <w:kern w:val="0"/>
                <w:szCs w:val="21"/>
              </w:rPr>
              <w:t>具备策略制定管理功能，能支持系统目录文件的控制权限管理设置，支持策略制定模式和系统自身保护模式。（提供功能界面截图）</w:t>
            </w:r>
          </w:p>
          <w:p>
            <w:pPr>
              <w:pStyle w:val="style0"/>
              <w:numPr>
                <w:ilvl w:val="0"/>
                <w:numId w:val="1"/>
              </w:numPr>
              <w:tabs>
                <w:tab w:val="left" w:leader="none" w:pos="420"/>
              </w:tabs>
              <w:snapToGrid w:val="false"/>
              <w:rPr>
                <w:rFonts w:ascii="宋体" w:cs="宋体" w:hAnsi="宋体"/>
                <w:bCs/>
                <w:kern w:val="0"/>
                <w:szCs w:val="21"/>
              </w:rPr>
            </w:pPr>
            <w:r>
              <w:rPr>
                <w:rFonts w:ascii="宋体" w:cs="宋体" w:hAnsi="宋体" w:hint="eastAsia"/>
                <w:bCs/>
                <w:kern w:val="0"/>
                <w:szCs w:val="21"/>
              </w:rPr>
              <w:t>支持对进程、信息资源、执行程序、文件等设置安全标记、控制权限和统一策略管控。支持对可执行代码的可信度量，通过对可执行代码的真实性和完整性度量，实现终端对已知/未知病毒、木马、攻击程序等恶意代码的防护能力。（提供功能界面截图）</w:t>
            </w:r>
          </w:p>
          <w:p>
            <w:pPr>
              <w:pStyle w:val="style0"/>
              <w:numPr>
                <w:ilvl w:val="0"/>
                <w:numId w:val="1"/>
              </w:numPr>
              <w:tabs>
                <w:tab w:val="left" w:leader="none" w:pos="420"/>
              </w:tabs>
              <w:snapToGrid w:val="false"/>
              <w:rPr>
                <w:rFonts w:ascii="宋体" w:hAnsi="宋体"/>
                <w:bCs/>
                <w:szCs w:val="21"/>
              </w:rPr>
            </w:pPr>
            <w:r>
              <w:rPr>
                <w:rFonts w:ascii="宋体" w:cs="宋体" w:hAnsi="宋体" w:hint="eastAsia"/>
                <w:bCs/>
                <w:kern w:val="0"/>
                <w:szCs w:val="21"/>
              </w:rPr>
              <w:t>具备软件安装、升级、删除的统一管理接口</w:t>
            </w:r>
            <w:r>
              <w:rPr>
                <w:rFonts w:ascii="宋体" w:cs="宋体" w:hAnsi="宋体" w:hint="eastAsia"/>
                <w:bCs/>
                <w:kern w:val="0"/>
                <w:szCs w:val="21"/>
                <w:lang w:eastAsia="zh-CN"/>
              </w:rPr>
              <w:t>，</w:t>
            </w:r>
            <w:r>
              <w:rPr>
                <w:rFonts w:ascii="宋体" w:cs="宋体" w:hAnsi="宋体" w:hint="eastAsia"/>
                <w:bCs/>
                <w:kern w:val="0"/>
                <w:szCs w:val="21"/>
              </w:rPr>
              <w:t>异常程序和可信程序的列表管理接口。</w:t>
            </w:r>
            <w:bookmarkStart w:id="0" w:name="_GoBack"/>
            <w:bookmarkEnd w:id="0"/>
            <w:r>
              <w:rPr>
                <w:rFonts w:ascii="宋体" w:hAnsi="宋体" w:hint="eastAsia"/>
                <w:bCs/>
                <w:szCs w:val="21"/>
              </w:rPr>
              <w:t>具备可疑程序、受控目录、系统设置、历史记录的审计管理功能。（提供功能界面截图）</w:t>
            </w:r>
          </w:p>
          <w:p>
            <w:pPr>
              <w:pStyle w:val="style0"/>
              <w:numPr>
                <w:ilvl w:val="0"/>
                <w:numId w:val="1"/>
              </w:numPr>
              <w:tabs>
                <w:tab w:val="left" w:leader="none" w:pos="420"/>
              </w:tabs>
              <w:snapToGrid w:val="false"/>
              <w:rPr>
                <w:rFonts w:hint="eastAsia"/>
                <w:bCs/>
                <w:szCs w:val="21"/>
              </w:rPr>
            </w:pPr>
            <w:r>
              <w:rPr>
                <w:rFonts w:ascii="宋体" w:cs="宋体" w:hAnsi="宋体" w:hint="eastAsia"/>
                <w:bCs/>
                <w:kern w:val="0"/>
                <w:sz w:val="24"/>
                <w:szCs w:val="24"/>
              </w:rPr>
              <w:t>★</w:t>
            </w:r>
            <w:r>
              <w:rPr>
                <w:rFonts w:cs="Arial" w:hAnsi="宋体" w:hint="eastAsia"/>
                <w:bCs/>
                <w:szCs w:val="21"/>
              </w:rPr>
              <w:t>投标产品应该是经过市场考验的成熟产品，产品上市时间不少于8年。须提供软件著作权证书、计算机病毒防治产品检验中心出具的检验报告、解放军信息安全测评认证中心军用产品认证报告等有效证明材料（证书复印件并加盖厂家公章）</w:t>
            </w:r>
            <w:r>
              <w:rPr>
                <w:rFonts w:ascii="宋体" w:hAnsi="宋体" w:hint="eastAsia"/>
                <w:bCs/>
                <w:szCs w:val="21"/>
                <w:lang w:bidi="th-TH"/>
              </w:rPr>
              <w:t>；</w:t>
            </w:r>
          </w:p>
          <w:p>
            <w:pPr>
              <w:pStyle w:val="style0"/>
              <w:numPr>
                <w:ilvl w:val="0"/>
                <w:numId w:val="1"/>
              </w:numPr>
              <w:tabs>
                <w:tab w:val="left" w:leader="none" w:pos="420"/>
              </w:tabs>
              <w:snapToGrid w:val="false"/>
              <w:rPr>
                <w:rFonts w:ascii="宋体" w:hAnsi="宋体"/>
                <w:bCs/>
                <w:szCs w:val="21"/>
              </w:rPr>
            </w:pPr>
            <w:r>
              <w:rPr>
                <w:rFonts w:ascii="宋体" w:cs="宋体" w:hAnsi="宋体" w:hint="eastAsia"/>
                <w:bCs/>
                <w:kern w:val="0"/>
                <w:sz w:val="24"/>
                <w:szCs w:val="24"/>
              </w:rPr>
              <w:t>★</w:t>
            </w:r>
            <w:r>
              <w:rPr>
                <w:rFonts w:ascii="宋体" w:hAnsi="宋体" w:hint="eastAsia"/>
                <w:bCs/>
                <w:szCs w:val="21"/>
              </w:rPr>
              <w:t>以上功能参数项中要求“提供功能界面截图”的产品功能项，提供由产品厂家盖章确认的截图证明材料原件；</w:t>
            </w:r>
          </w:p>
          <w:p>
            <w:pPr>
              <w:pStyle w:val="style0"/>
              <w:numPr>
                <w:ilvl w:val="0"/>
                <w:numId w:val="1"/>
              </w:numPr>
              <w:tabs>
                <w:tab w:val="left" w:leader="none" w:pos="420"/>
              </w:tabs>
              <w:snapToGrid w:val="false"/>
              <w:rPr>
                <w:rFonts w:ascii="宋体" w:hAnsi="宋体" w:hint="eastAsia"/>
                <w:bCs/>
                <w:szCs w:val="21"/>
              </w:rPr>
            </w:pPr>
            <w:r>
              <w:rPr>
                <w:rFonts w:cs="Arial" w:hAnsi="宋体" w:hint="eastAsia"/>
                <w:bCs/>
                <w:szCs w:val="21"/>
              </w:rPr>
              <w:t>2015年1月1日至今（合同签定日期为准）产品在深圳教育行业至少6个应用案例（提供合同关键页复印件，合同甲方必须为深圳教育用户）；</w:t>
            </w:r>
          </w:p>
          <w:p>
            <w:pPr>
              <w:pStyle w:val="style0"/>
              <w:numPr>
                <w:ilvl w:val="0"/>
                <w:numId w:val="0"/>
              </w:numPr>
              <w:tabs>
                <w:tab w:val="left" w:leader="none" w:pos="420"/>
              </w:tabs>
              <w:snapToGrid w:val="false"/>
              <w:ind w:leftChars="0"/>
              <w:rPr>
                <w:rFonts w:ascii="宋体" w:hAnsi="宋体" w:hint="eastAsia"/>
                <w:bCs/>
                <w:szCs w:val="21"/>
              </w:rPr>
            </w:pPr>
            <w:r>
              <w:rPr>
                <w:rFonts w:ascii="宋体" w:cs="宋体" w:hAnsi="宋体" w:hint="eastAsia"/>
                <w:szCs w:val="21"/>
                <w:lang w:val="en-US" w:eastAsia="zh-CN"/>
              </w:rPr>
              <w:t>4</w:t>
            </w:r>
            <w:r>
              <w:rPr>
                <w:rFonts w:ascii="宋体" w:cs="宋体" w:hAnsi="宋体" w:hint="eastAsia"/>
                <w:szCs w:val="21"/>
              </w:rPr>
              <w:t>、服务</w:t>
            </w:r>
            <w:r>
              <w:rPr>
                <w:rFonts w:ascii="宋体" w:cs="宋体" w:hAnsi="宋体" w:hint="eastAsia"/>
                <w:szCs w:val="21"/>
                <w:lang w:val="en-US" w:eastAsia="zh-CN"/>
              </w:rPr>
              <w:t>期限要求：签订合同后15天内完成服务内容。</w:t>
            </w:r>
          </w:p>
        </w:tc>
        <w:tc>
          <w:tcPr>
            <w:tcW w:w="520" w:type="dxa"/>
            <w:tcBorders/>
            <w:shd w:val="clear" w:color="000000" w:fill="ffffff"/>
            <w:vAlign w:val="center"/>
          </w:tcPr>
          <w:p>
            <w:pPr>
              <w:pStyle w:val="style0"/>
              <w:widowControl/>
              <w:jc w:val="center"/>
              <w:rPr>
                <w:rFonts w:ascii="宋体" w:cs="Arial" w:hAnsi="宋体"/>
                <w:kern w:val="0"/>
                <w:szCs w:val="21"/>
              </w:rPr>
            </w:pPr>
            <w:r>
              <w:rPr>
                <w:rFonts w:ascii="宋体" w:cs="Arial" w:hAnsi="宋体"/>
                <w:kern w:val="0"/>
                <w:szCs w:val="21"/>
                <w:lang w:val="en-US"/>
              </w:rPr>
              <w:t>1</w:t>
            </w:r>
          </w:p>
        </w:tc>
        <w:tc>
          <w:tcPr>
            <w:tcW w:w="520" w:type="dxa"/>
            <w:tcBorders/>
            <w:shd w:val="clear" w:color="000000" w:fill="ffffff"/>
            <w:vAlign w:val="center"/>
          </w:tcPr>
          <w:p>
            <w:pPr>
              <w:pStyle w:val="style0"/>
              <w:widowControl/>
              <w:jc w:val="left"/>
              <w:rPr>
                <w:rFonts w:ascii="宋体" w:cs="宋体" w:hAnsi="宋体"/>
                <w:kern w:val="0"/>
                <w:szCs w:val="21"/>
              </w:rPr>
            </w:pPr>
            <w:r>
              <w:rPr>
                <w:rFonts w:ascii="宋体" w:cs="宋体" w:hAnsi="宋体"/>
                <w:kern w:val="0"/>
                <w:szCs w:val="21"/>
                <w:lang w:val="en-US"/>
              </w:rPr>
              <w:t>套</w:t>
            </w:r>
          </w:p>
        </w:tc>
      </w:tr>
    </w:tbl>
    <w:p>
      <w:pPr>
        <w:pStyle w:val="style0"/>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mbria">
    <w:altName w:val="Cambria"/>
    <w:panose1 w:val="02040503050004030204"/>
    <w:charset w:val="00"/>
    <w:family w:val="roman"/>
    <w:pitch w:val="default"/>
    <w:sig w:usb0="E00002FF" w:usb1="400004FF" w:usb2="00000000" w:usb3="00000000" w:csb0="2000019F" w:csb1="00000000"/>
  </w:font>
  <w:font w:name="Calibri">
    <w:altName w:val="Calibri"/>
    <w:panose1 w:val="020f0502020002030204"/>
    <w:charset w:val="00"/>
    <w:family w:val="swiss"/>
    <w:pitch w:val="default"/>
    <w:sig w:usb0="E00002FF" w:usb1="4000ACFF" w:usb2="00000001" w:usb3="00000000" w:csb0="2000019F" w:csb1="00000000"/>
  </w:font>
  <w:font w:name="微软雅黑">
    <w:altName w:val="微软雅黑"/>
    <w:panose1 w:val="020b0503020002020204"/>
    <w:charset w:val="86"/>
    <w:family w:val="auto"/>
    <w:pitch w:val="default"/>
    <w:sig w:usb0="80000287" w:usb1="280F3C52" w:usb2="00000016" w:usb3="00000000" w:csb0="0004001F" w:csb1="00000000"/>
  </w:font>
  <w:font w:name="Tahoma">
    <w:altName w:val="Tahoma"/>
    <w:panose1 w:val="020b0604030005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5927DF26"/>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Times New Roman" w:cs="宋体" w:eastAsia="宋体" w:hAnsi="Times New Roman"/>
      <w:kern w:val="2"/>
      <w:sz w:val="21"/>
      <w:szCs w:val="24"/>
      <w:lang w:val="en-US" w:bidi="ar-SA" w:eastAsia="zh-CN"/>
    </w:rPr>
  </w:style>
  <w:style w:type="character" w:default="1" w:styleId="style65">
    <w:name w:val="Default Paragraph Font"/>
    <w:next w:val="style65"/>
    <w:uiPriority w:val="0"/>
  </w:style>
  <w:style w:type="table" w:default="1" w:styleId="style105">
    <w:name w:val="Normal Table"/>
    <w:next w:val="style105"/>
    <w:uiPriority w:val="0"/>
    <w:pPr/>
    <w:rPr/>
    <w:tblPr>
      <w:tblLayout w:type="fixed"/>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customXml" Target="../customXml/item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1434</Words>
  <Pages>1</Pages>
  <Characters>1489</Characters>
  <Application>WPS Office</Application>
  <DocSecurity>0</DocSecurity>
  <Paragraphs>33</Paragraphs>
  <ScaleCrop>false</ScaleCrop>
  <LinksUpToDate>false</LinksUpToDate>
  <CharactersWithSpaces>1490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zy02</dc:creator>
  <lastModifiedBy>MIX 2</lastModifiedBy>
  <dcterms:modified xsi:type="dcterms:W3CDTF">2017-10-16T05:40:28Z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