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40"/>
          <w:szCs w:val="40"/>
          <w:lang w:val="en-US" w:eastAsia="zh-CN"/>
        </w:rPr>
      </w:pPr>
      <w:r>
        <w:rPr>
          <w:rFonts w:hint="eastAsia" w:ascii="微软雅黑" w:hAnsi="微软雅黑" w:eastAsia="微软雅黑" w:cs="微软雅黑"/>
          <w:b/>
          <w:bCs/>
          <w:sz w:val="40"/>
          <w:szCs w:val="40"/>
          <w:lang w:val="en-US" w:eastAsia="zh-CN"/>
        </w:rPr>
        <w:t>新高考选排课系统&amp;学校报账系统与</w:t>
      </w:r>
    </w:p>
    <w:p>
      <w:pPr>
        <w:jc w:val="center"/>
        <w:rPr>
          <w:rFonts w:hint="eastAsia" w:ascii="微软雅黑" w:hAnsi="微软雅黑" w:eastAsia="微软雅黑" w:cs="微软雅黑"/>
          <w:b/>
          <w:bCs/>
          <w:sz w:val="40"/>
          <w:szCs w:val="40"/>
          <w:lang w:val="en-US" w:eastAsia="zh-CN"/>
        </w:rPr>
      </w:pPr>
      <w:bookmarkStart w:id="0" w:name="_GoBack"/>
      <w:r>
        <w:rPr>
          <w:rFonts w:hint="eastAsia" w:ascii="微软雅黑" w:hAnsi="微软雅黑" w:eastAsia="微软雅黑" w:cs="微软雅黑"/>
          <w:b/>
          <w:bCs/>
          <w:sz w:val="40"/>
          <w:szCs w:val="40"/>
          <w:lang w:val="en-US" w:eastAsia="zh-CN"/>
        </w:rPr>
        <w:t>智慧校园生态云平台对接</w:t>
      </w:r>
      <w:bookmarkEnd w:id="0"/>
      <w:r>
        <w:rPr>
          <w:rFonts w:hint="eastAsia" w:ascii="微软雅黑" w:hAnsi="微软雅黑" w:eastAsia="微软雅黑" w:cs="微软雅黑"/>
          <w:b/>
          <w:bCs/>
          <w:sz w:val="40"/>
          <w:szCs w:val="40"/>
          <w:lang w:val="en-US" w:eastAsia="zh-CN"/>
        </w:rPr>
        <w:t>项目</w:t>
      </w:r>
    </w:p>
    <w:p>
      <w:pPr>
        <w:wordWrap w:val="0"/>
        <w:adjustRightInd w:val="0"/>
        <w:spacing w:line="360" w:lineRule="auto"/>
        <w:jc w:val="center"/>
        <w:rPr>
          <w:rFonts w:hint="eastAsia" w:ascii="黑体" w:hAnsi="黑体" w:eastAsia="黑体"/>
          <w:sz w:val="72"/>
          <w:szCs w:val="72"/>
          <w:lang w:val="zh-CN"/>
        </w:rPr>
      </w:pPr>
      <w:r>
        <w:rPr>
          <w:rFonts w:hint="eastAsia" w:ascii="黑体" w:hAnsi="黑体" w:eastAsia="黑体"/>
          <w:sz w:val="72"/>
          <w:szCs w:val="72"/>
          <w:lang w:val="zh-CN"/>
        </w:rPr>
        <w:t>招标</w:t>
      </w:r>
    </w:p>
    <w:p>
      <w:pPr>
        <w:wordWrap w:val="0"/>
        <w:adjustRightInd w:val="0"/>
        <w:spacing w:line="360" w:lineRule="auto"/>
        <w:jc w:val="center"/>
        <w:rPr>
          <w:rFonts w:hint="default" w:ascii="黑体" w:hAnsi="黑体" w:eastAsia="黑体"/>
          <w:sz w:val="72"/>
          <w:szCs w:val="72"/>
          <w:lang w:val="en-US" w:eastAsia="zh-CN"/>
        </w:rPr>
      </w:pPr>
      <w:r>
        <w:rPr>
          <w:rFonts w:hint="eastAsia" w:ascii="微软雅黑" w:hAnsi="微软雅黑" w:eastAsia="微软雅黑" w:cs="微软雅黑"/>
          <w:b/>
          <w:bCs/>
          <w:sz w:val="40"/>
          <w:szCs w:val="40"/>
          <w:lang w:val="zh-CN" w:eastAsia="zh-CN"/>
        </w:rPr>
        <w:t>（预算</w:t>
      </w:r>
      <w:r>
        <w:rPr>
          <w:rFonts w:hint="eastAsia" w:ascii="微软雅黑" w:hAnsi="微软雅黑" w:eastAsia="微软雅黑" w:cs="微软雅黑"/>
          <w:b/>
          <w:bCs/>
          <w:sz w:val="40"/>
          <w:szCs w:val="40"/>
          <w:lang w:val="en-US" w:eastAsia="zh-CN"/>
        </w:rPr>
        <w:t>3.5万）</w:t>
      </w: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
    <w:p>
      <w:pPr>
        <w:sectPr>
          <w:headerReference r:id="rId3" w:type="default"/>
          <w:pgSz w:w="11906" w:h="16838"/>
          <w:pgMar w:top="1797" w:right="1440" w:bottom="1797" w:left="1440" w:header="1134" w:footer="1264" w:gutter="0"/>
          <w:pgNumType w:start="1"/>
          <w:cols w:space="425" w:num="1"/>
          <w:docGrid w:type="lines" w:linePitch="312" w:charSpace="0"/>
        </w:sectPr>
      </w:pPr>
    </w:p>
    <w:p>
      <w:pPr>
        <w:pStyle w:val="7"/>
        <w:ind w:right="27"/>
        <w:rPr>
          <w:rFonts w:hint="eastAsia"/>
        </w:rPr>
      </w:pPr>
      <w:r>
        <w:rPr>
          <w:rFonts w:hint="eastAsia"/>
        </w:rPr>
        <w:t>对投标人资质要求</w:t>
      </w:r>
    </w:p>
    <w:p>
      <w:pPr>
        <w:pStyle w:val="6"/>
        <w:ind w:firstLine="480"/>
        <w:rPr>
          <w:rFonts w:hint="eastAsia"/>
        </w:rPr>
      </w:pPr>
      <w:r>
        <w:rPr>
          <w:rFonts w:hint="eastAsia"/>
        </w:rPr>
        <w:t>1．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pPr>
        <w:pStyle w:val="6"/>
        <w:ind w:firstLine="480"/>
        <w:rPr>
          <w:rFonts w:hint="eastAsia"/>
        </w:rPr>
      </w:pPr>
      <w:r>
        <w:rPr>
          <w:rFonts w:hint="eastAsia"/>
        </w:rPr>
        <w:t>2．截止开标时间止，未被深圳市各级政府采购主管部门行政处罚（指禁止参与政府活动且在有效期内）的投标人。</w:t>
      </w:r>
    </w:p>
    <w:p>
      <w:pPr>
        <w:pStyle w:val="6"/>
        <w:ind w:firstLine="480"/>
        <w:rPr>
          <w:rFonts w:hint="eastAsia"/>
        </w:rPr>
      </w:pPr>
      <w:r>
        <w:rPr>
          <w:rFonts w:hint="eastAsia"/>
        </w:rPr>
        <w:t>3．</w:t>
      </w:r>
      <w:r>
        <w:rPr>
          <w:rFonts w:hint="eastAsia"/>
        </w:rPr>
        <w:tab/>
      </w:r>
      <w:r>
        <w:rPr>
          <w:rFonts w:hint="eastAsia"/>
        </w:rPr>
        <w:t xml:space="preserve">参加本次投标活动前3年内，在经营活动中无重大违法记录声明函； </w:t>
      </w:r>
    </w:p>
    <w:p>
      <w:pPr>
        <w:pStyle w:val="6"/>
        <w:ind w:firstLine="480"/>
        <w:rPr>
          <w:rFonts w:hint="eastAsia"/>
        </w:rPr>
      </w:pPr>
      <w:r>
        <w:rPr>
          <w:rFonts w:hint="eastAsia"/>
        </w:rPr>
        <w:t>4．</w:t>
      </w:r>
      <w:r>
        <w:rPr>
          <w:rFonts w:hint="eastAsia"/>
        </w:rPr>
        <w:tab/>
      </w:r>
      <w:r>
        <w:rPr>
          <w:rFonts w:hint="eastAsia"/>
        </w:rPr>
        <w:t xml:space="preserve">参与政府采购项目投标供应商近三年内无行贿犯罪承诺函； </w:t>
      </w:r>
    </w:p>
    <w:p>
      <w:pPr>
        <w:pStyle w:val="6"/>
        <w:ind w:firstLine="480"/>
        <w:rPr>
          <w:rFonts w:hint="eastAsia"/>
        </w:rPr>
      </w:pPr>
      <w:r>
        <w:rPr>
          <w:rFonts w:hint="eastAsia"/>
        </w:rPr>
        <w:t>5．</w:t>
      </w:r>
      <w:r>
        <w:rPr>
          <w:rFonts w:hint="eastAsia"/>
        </w:rPr>
        <w:tab/>
      </w:r>
      <w:r>
        <w:rPr>
          <w:rFonts w:hint="eastAsia"/>
        </w:rPr>
        <w:t xml:space="preserve">诚信承诺函（一旦材料作假举报查实，将取消中标资格并在三年内不得参加学校采购活动）； </w:t>
      </w:r>
    </w:p>
    <w:p>
      <w:pPr>
        <w:pStyle w:val="7"/>
        <w:ind w:right="27"/>
        <w:rPr>
          <w:rFonts w:hint="eastAsia"/>
        </w:rPr>
      </w:pPr>
      <w:r>
        <w:rPr>
          <w:rFonts w:hint="eastAsia"/>
        </w:rPr>
        <w:t>须提供资料：（以下资料均须加盖公章）</w:t>
      </w:r>
    </w:p>
    <w:p>
      <w:pPr>
        <w:pStyle w:val="6"/>
        <w:ind w:firstLine="480"/>
        <w:rPr>
          <w:rFonts w:hint="eastAsia"/>
        </w:rPr>
      </w:pPr>
      <w:r>
        <w:rPr>
          <w:rFonts w:hint="eastAsia"/>
        </w:rPr>
        <w:t xml:space="preserve">1．企业法人营业执照及副本（含注册资本、经营范围截图），经营范围须有与所投项目相关的资质； </w:t>
      </w:r>
    </w:p>
    <w:p>
      <w:pPr>
        <w:pStyle w:val="6"/>
        <w:ind w:firstLine="480"/>
        <w:rPr>
          <w:rFonts w:hint="eastAsia"/>
        </w:rPr>
      </w:pPr>
      <w:r>
        <w:rPr>
          <w:rFonts w:hint="eastAsia"/>
        </w:rPr>
        <w:t>2．法人授权委托书原件、法人及代理人身份复印件，签合同时验原件；</w:t>
      </w:r>
    </w:p>
    <w:p>
      <w:pPr>
        <w:pStyle w:val="6"/>
        <w:ind w:firstLine="480"/>
        <w:rPr>
          <w:rFonts w:hint="eastAsia"/>
        </w:rPr>
      </w:pPr>
      <w:r>
        <w:rPr>
          <w:rFonts w:hint="eastAsia"/>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国家企业信用信息公示系统www.gsxt.gov.cn）等5官网中至少一家以上的的信用信息查询记录网络截图件并加盖投标人公章；深圳市外企业在“国家企业信用信息公示系统”查询的提供《企业信用信息公示报告》完整打印件并加盖投标人公章；</w:t>
      </w:r>
    </w:p>
    <w:p>
      <w:pPr>
        <w:pStyle w:val="6"/>
        <w:ind w:firstLine="480"/>
        <w:rPr>
          <w:rFonts w:hint="eastAsia"/>
        </w:rPr>
      </w:pPr>
      <w:r>
        <w:rPr>
          <w:rFonts w:hint="eastAsia"/>
        </w:rPr>
        <w:t>4.承诺函：截止开标时间止，未被深圳市各级政府采购主管部门行政处罚（指禁止参与政府活动且在有效期内）的、近三年内无行贿犯罪的和在经营活动中无重大违法记录的承诺函（格式见附件）；</w:t>
      </w:r>
    </w:p>
    <w:p>
      <w:pPr>
        <w:pStyle w:val="6"/>
        <w:ind w:firstLine="480"/>
        <w:rPr>
          <w:rFonts w:hint="eastAsia"/>
        </w:rPr>
      </w:pPr>
      <w:r>
        <w:rPr>
          <w:rFonts w:hint="eastAsia"/>
        </w:rPr>
        <w:t>5.报价明细表；</w:t>
      </w:r>
    </w:p>
    <w:p>
      <w:pPr>
        <w:pStyle w:val="6"/>
        <w:ind w:firstLine="480"/>
        <w:rPr>
          <w:rFonts w:hint="eastAsia"/>
        </w:rPr>
      </w:pPr>
      <w:r>
        <w:rPr>
          <w:rFonts w:hint="eastAsia"/>
        </w:rPr>
        <w:t>6．</w:t>
      </w:r>
      <w:r>
        <w:rPr>
          <w:rFonts w:hint="eastAsia"/>
        </w:rPr>
        <w:tab/>
      </w:r>
      <w:r>
        <w:rPr>
          <w:rFonts w:hint="eastAsia"/>
        </w:rPr>
        <w:t>售后承诺书；</w:t>
      </w:r>
    </w:p>
    <w:p>
      <w:pPr>
        <w:pStyle w:val="6"/>
        <w:ind w:firstLine="480"/>
        <w:rPr>
          <w:rFonts w:hint="eastAsia"/>
        </w:rPr>
      </w:pPr>
      <w:r>
        <w:rPr>
          <w:rFonts w:hint="eastAsia"/>
        </w:rPr>
        <w:t>7．</w:t>
      </w:r>
      <w:r>
        <w:rPr>
          <w:rFonts w:hint="eastAsia"/>
        </w:rPr>
        <w:tab/>
      </w:r>
      <w:r>
        <w:rPr>
          <w:rFonts w:hint="eastAsia"/>
        </w:rPr>
        <w:t>非深圳的投标供应商须提供能在深圳市内提供售后服务的证明资料；</w:t>
      </w:r>
    </w:p>
    <w:p>
      <w:pPr>
        <w:pStyle w:val="6"/>
        <w:ind w:firstLine="480"/>
        <w:rPr>
          <w:rFonts w:hint="eastAsia"/>
        </w:rPr>
      </w:pPr>
      <w:r>
        <w:rPr>
          <w:rFonts w:hint="eastAsia"/>
        </w:rPr>
        <w:t>8．</w:t>
      </w:r>
      <w:r>
        <w:rPr>
          <w:rFonts w:hint="eastAsia"/>
        </w:rPr>
        <w:tab/>
      </w:r>
      <w:r>
        <w:rPr>
          <w:rFonts w:hint="eastAsia"/>
        </w:rPr>
        <w:t>同类案例（请提供中标通知书或合同关键页复印件，并加盖公章）；</w:t>
      </w:r>
    </w:p>
    <w:p>
      <w:pPr>
        <w:pStyle w:val="6"/>
        <w:ind w:firstLine="480"/>
        <w:rPr>
          <w:rFonts w:hint="eastAsia"/>
        </w:rPr>
      </w:pPr>
      <w:r>
        <w:rPr>
          <w:rFonts w:hint="eastAsia"/>
        </w:rPr>
        <w:t>9．所投产品为进口产品需要提前说明；</w:t>
      </w:r>
    </w:p>
    <w:p>
      <w:pPr>
        <w:pStyle w:val="6"/>
        <w:ind w:firstLine="480"/>
        <w:rPr>
          <w:rFonts w:hint="eastAsia"/>
        </w:rPr>
      </w:pPr>
      <w:r>
        <w:rPr>
          <w:rFonts w:hint="eastAsia"/>
        </w:rPr>
        <w:t>10.软件著作权证书；</w:t>
      </w:r>
    </w:p>
    <w:p>
      <w:pPr>
        <w:pStyle w:val="6"/>
        <w:ind w:firstLine="480"/>
        <w:rPr>
          <w:rFonts w:hint="eastAsia"/>
        </w:rPr>
      </w:pPr>
      <w:r>
        <w:rPr>
          <w:rFonts w:hint="eastAsia"/>
        </w:rPr>
        <w:t>11.软件产品登记测试报告；</w:t>
      </w:r>
    </w:p>
    <w:p>
      <w:pPr>
        <w:pStyle w:val="6"/>
        <w:ind w:firstLine="480"/>
        <w:rPr>
          <w:rFonts w:hint="eastAsia"/>
        </w:rPr>
      </w:pPr>
      <w:r>
        <w:rPr>
          <w:rFonts w:hint="eastAsia"/>
        </w:rPr>
        <w:t xml:space="preserve">12.产品应用于在地级市或以上利用在线作业系统进行英语统一测评考试，提供教育局或者教研室统一发文，并加盖公章。 </w:t>
      </w:r>
    </w:p>
    <w:p>
      <w:pPr>
        <w:pStyle w:val="6"/>
        <w:ind w:firstLine="480"/>
        <w:rPr>
          <w:rFonts w:hint="eastAsia"/>
        </w:rPr>
      </w:pPr>
      <w:r>
        <w:rPr>
          <w:rFonts w:hint="eastAsia"/>
        </w:rPr>
        <w:t>13.承接国家级十三五重点课题或承接教育部重点课题</w:t>
      </w:r>
    </w:p>
    <w:p>
      <w:pPr>
        <w:pStyle w:val="6"/>
        <w:ind w:firstLine="480"/>
        <w:rPr>
          <w:rFonts w:hint="eastAsia"/>
        </w:rPr>
      </w:pPr>
      <w:r>
        <w:rPr>
          <w:rFonts w:hint="eastAsia"/>
        </w:rPr>
        <w:t>14．各项目所需的其他资料；</w:t>
      </w:r>
    </w:p>
    <w:p>
      <w:pPr>
        <w:pStyle w:val="6"/>
        <w:ind w:firstLine="480"/>
      </w:pPr>
    </w:p>
    <w:p>
      <w:pPr>
        <w:pStyle w:val="6"/>
        <w:ind w:firstLine="480"/>
        <w:rPr>
          <w:rFonts w:hint="eastAsia"/>
        </w:rPr>
      </w:pPr>
      <w:r>
        <w:rPr>
          <w:rFonts w:hint="eastAsia"/>
        </w:rPr>
        <w:t>说明：</w:t>
      </w:r>
    </w:p>
    <w:p>
      <w:pPr>
        <w:pStyle w:val="6"/>
        <w:ind w:firstLine="480"/>
        <w:rPr>
          <w:rFonts w:hint="eastAsia"/>
        </w:rPr>
      </w:pPr>
      <w:r>
        <w:rPr>
          <w:rFonts w:hint="eastAsia"/>
        </w:rPr>
        <w:t>1．以上1-6项为必需具备的基本资格，具备1-6项的必须有三家投标人（含三家）以上，才能进行后继招标工作，否则视作废标处理。</w:t>
      </w:r>
    </w:p>
    <w:p>
      <w:pPr>
        <w:pStyle w:val="6"/>
        <w:ind w:firstLine="480"/>
        <w:rPr>
          <w:rFonts w:hint="eastAsia"/>
        </w:rPr>
      </w:pPr>
      <w:r>
        <w:rPr>
          <w:rFonts w:hint="eastAsia"/>
        </w:rPr>
        <w:t>2．7-14为技术及商务打分相关项目，如果投标商有相关材料请尽量提供。</w:t>
      </w:r>
    </w:p>
    <w:p>
      <w:pPr>
        <w:pStyle w:val="6"/>
        <w:ind w:firstLine="480"/>
        <w:rPr>
          <w:rFonts w:hint="eastAsia"/>
        </w:rPr>
      </w:pPr>
      <w:r>
        <w:rPr>
          <w:rFonts w:hint="eastAsia"/>
        </w:rPr>
        <w:t>投标文件需要提供一式二份，并用文件袋密封，加盖投标公司公章。</w:t>
      </w:r>
    </w:p>
    <w:p>
      <w:pPr>
        <w:jc w:val="center"/>
        <w:rPr>
          <w:rFonts w:hint="default" w:ascii="微软雅黑" w:hAnsi="微软雅黑" w:eastAsia="微软雅黑" w:cs="微软雅黑"/>
          <w:b/>
          <w:bCs/>
          <w:sz w:val="40"/>
          <w:szCs w:val="40"/>
          <w:lang w:val="en-US" w:eastAsia="zh-CN"/>
        </w:rPr>
      </w:pPr>
      <w:r>
        <w:rPr>
          <w:rFonts w:hint="eastAsia" w:ascii="微软雅黑" w:hAnsi="微软雅黑" w:eastAsia="微软雅黑" w:cs="微软雅黑"/>
          <w:b/>
          <w:bCs/>
          <w:sz w:val="40"/>
          <w:szCs w:val="40"/>
          <w:lang w:val="en-US" w:eastAsia="zh-CN"/>
        </w:rPr>
        <w:t>第3章 项目需求</w:t>
      </w:r>
    </w:p>
    <w:p>
      <w:pPr>
        <w:numPr>
          <w:ilvl w:val="0"/>
          <w:numId w:val="0"/>
        </w:numPr>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一、平台与新高考选排课系统对接工作</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1、身份认证对接：指导并配合完成与新高考选排课系统身份认证对接，达到通过学校统一管理平台一站式登录后、点击图标即可进入选排课系统；</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2、消息推送对接：指导并配合完成新高考选排课系统向平台推送模板消息，并将模板消息实时同步到校内RTX系统，点击消息免登录进入操作页面；</w:t>
      </w:r>
    </w:p>
    <w:p>
      <w:pPr>
        <w:widowControl w:val="0"/>
        <w:numPr>
          <w:ilvl w:val="0"/>
          <w:numId w:val="0"/>
        </w:numPr>
        <w:ind w:firstLine="420" w:firstLineChars="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基础数据同步：指导并配合完成新高考选排课系统与平台实现组织架构、教职工信息、学年学期、年级班级、学生家长的增/删/改/查/启用/禁用等操作实时的数据互联互通，并保障数据互通的准确性、一致性和完整性质量；</w:t>
      </w:r>
    </w:p>
    <w:p>
      <w:pPr>
        <w:widowControl w:val="0"/>
        <w:numPr>
          <w:ilvl w:val="0"/>
          <w:numId w:val="0"/>
        </w:numPr>
        <w:ind w:firstLine="420" w:firstLineChars="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4、业务数据同步：指导并配合完成新高考与选排课系统的课程表、调课数据共享，为电子班牌等系统调用课程表数据提供保障；</w:t>
      </w:r>
    </w:p>
    <w:p>
      <w:pPr>
        <w:widowControl w:val="0"/>
        <w:numPr>
          <w:ilvl w:val="0"/>
          <w:numId w:val="0"/>
        </w:numPr>
        <w:ind w:firstLine="420" w:firstLineChars="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5、应用拆分注册：将新高考选排课系统按学生选课、智能排课、课程表、智能分班等模块拆分成更加短路径的模块，让用户访问更加便捷。</w:t>
      </w:r>
    </w:p>
    <w:p>
      <w:pPr>
        <w:widowControl w:val="0"/>
        <w:numPr>
          <w:ilvl w:val="0"/>
          <w:numId w:val="0"/>
        </w:numPr>
        <w:ind w:firstLine="420" w:firstLineChars="0"/>
        <w:jc w:val="both"/>
        <w:rPr>
          <w:rFonts w:hint="default" w:ascii="微软雅黑" w:hAnsi="微软雅黑" w:eastAsia="微软雅黑" w:cs="微软雅黑"/>
          <w:sz w:val="24"/>
          <w:szCs w:val="24"/>
          <w:lang w:val="en-US" w:eastAsia="zh-CN"/>
        </w:rPr>
      </w:pPr>
    </w:p>
    <w:p>
      <w:pPr>
        <w:widowControl w:val="0"/>
        <w:numPr>
          <w:ilvl w:val="0"/>
          <w:numId w:val="2"/>
        </w:numPr>
        <w:jc w:val="both"/>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平台与学校报账系统对接工作</w:t>
      </w:r>
    </w:p>
    <w:p>
      <w:pPr>
        <w:widowControl w:val="0"/>
        <w:numPr>
          <w:ilvl w:val="0"/>
          <w:numId w:val="0"/>
        </w:numPr>
        <w:ind w:firstLine="420"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1、身份认证对接：指导并配合完成与学校报账系统完成身份认证对接，达到通过学校管理平台一站式登录后、点击图标即可进入选排课系统的目标；</w:t>
      </w:r>
    </w:p>
    <w:p>
      <w:pPr>
        <w:widowControl w:val="0"/>
        <w:numPr>
          <w:ilvl w:val="0"/>
          <w:numId w:val="0"/>
        </w:numPr>
        <w:ind w:firstLine="420" w:firstLineChars="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2、消息推送对接：指导并配合完成学校报账系统向平台推送模板消息，并将模板消息实时同步到校内RTX系统，点击消息免登录进入操作页面；</w:t>
      </w:r>
    </w:p>
    <w:p>
      <w:pPr>
        <w:widowControl w:val="0"/>
        <w:numPr>
          <w:ilvl w:val="0"/>
          <w:numId w:val="0"/>
        </w:numPr>
        <w:ind w:firstLine="420" w:firstLineChars="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5、应用注册：将学校报账系统注册进开放平台，并授权给管理平台中的用户使用。</w:t>
      </w:r>
    </w:p>
    <w:p>
      <w:pPr>
        <w:widowControl w:val="0"/>
        <w:numPr>
          <w:ilvl w:val="0"/>
          <w:numId w:val="0"/>
        </w:numPr>
        <w:jc w:val="both"/>
        <w:rPr>
          <w:rFonts w:hint="default" w:ascii="微软雅黑" w:hAnsi="微软雅黑" w:eastAsia="微软雅黑" w:cs="微软雅黑"/>
          <w:sz w:val="24"/>
          <w:szCs w:val="24"/>
          <w:lang w:val="en-US" w:eastAsia="zh-CN"/>
        </w:rPr>
      </w:pPr>
    </w:p>
    <w:p>
      <w:pPr>
        <w:widowControl w:val="0"/>
        <w:numPr>
          <w:ilvl w:val="0"/>
          <w:numId w:val="2"/>
        </w:numPr>
        <w:jc w:val="both"/>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其他日常工作</w:t>
      </w:r>
    </w:p>
    <w:p>
      <w:pPr>
        <w:widowControl w:val="0"/>
        <w:numPr>
          <w:ilvl w:val="0"/>
          <w:numId w:val="3"/>
        </w:numPr>
        <w:ind w:firstLine="420" w:firstLineChars="0"/>
        <w:jc w:val="both"/>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应用注册：设计应用图标、注册并配置相关应用信息等；</w:t>
      </w:r>
    </w:p>
    <w:p>
      <w:pPr>
        <w:widowControl w:val="0"/>
        <w:numPr>
          <w:ilvl w:val="0"/>
          <w:numId w:val="3"/>
        </w:numPr>
        <w:ind w:firstLine="420" w:firstLineChars="0"/>
        <w:jc w:val="both"/>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API注册：注册课程表、调课等数据API，并配置相关接口信息；</w:t>
      </w:r>
    </w:p>
    <w:p>
      <w:pPr>
        <w:widowControl w:val="0"/>
        <w:numPr>
          <w:ilvl w:val="0"/>
          <w:numId w:val="0"/>
        </w:numPr>
        <w:ind w:left="420" w:left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3、API授权：对新高考选排课系统与学校报账系统数据生产与消费权限进行设置，并指导应用接入；</w:t>
      </w:r>
    </w:p>
    <w:p>
      <w:pPr>
        <w:widowControl w:val="0"/>
        <w:numPr>
          <w:ilvl w:val="0"/>
          <w:numId w:val="0"/>
        </w:numPr>
        <w:ind w:left="420" w:left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4、质量保障：对新高考选排课系统与学校报账系统数据互联互通对接质量进行监督与管理保障；</w:t>
      </w:r>
    </w:p>
    <w:p>
      <w:pPr>
        <w:widowControl w:val="0"/>
        <w:numPr>
          <w:ilvl w:val="0"/>
          <w:numId w:val="0"/>
        </w:numPr>
        <w:ind w:left="420" w:leftChars="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5、系统升级：移动应用平台、统一管理平台、能力开放平台日常升级。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enter" w:pos="4513"/>
        <w:tab w:val="right" w:pos="9026"/>
        <w:tab w:val="clear" w:pos="4153"/>
        <w:tab w:val="clear" w:pos="8306"/>
      </w:tabs>
      <w:jc w:val="lef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ECA8DC"/>
    <w:multiLevelType w:val="singleLevel"/>
    <w:tmpl w:val="ECECA8DC"/>
    <w:lvl w:ilvl="0" w:tentative="0">
      <w:start w:val="1"/>
      <w:numFmt w:val="decimal"/>
      <w:suff w:val="nothing"/>
      <w:lvlText w:val="%1、"/>
      <w:lvlJc w:val="left"/>
    </w:lvl>
  </w:abstractNum>
  <w:abstractNum w:abstractNumId="1">
    <w:nsid w:val="79B7114C"/>
    <w:multiLevelType w:val="singleLevel"/>
    <w:tmpl w:val="79B7114C"/>
    <w:lvl w:ilvl="0" w:tentative="0">
      <w:start w:val="2"/>
      <w:numFmt w:val="chineseCounting"/>
      <w:suff w:val="nothing"/>
      <w:lvlText w:val="%1、"/>
      <w:lvlJc w:val="left"/>
      <w:rPr>
        <w:rFonts w:hint="eastAsia"/>
      </w:rPr>
    </w:lvl>
  </w:abstractNum>
  <w:abstractNum w:abstractNumId="2">
    <w:nsid w:val="7D8813A8"/>
    <w:multiLevelType w:val="multilevel"/>
    <w:tmpl w:val="7D8813A8"/>
    <w:lvl w:ilvl="0" w:tentative="0">
      <w:start w:val="1"/>
      <w:numFmt w:val="decimal"/>
      <w:pStyle w:val="8"/>
      <w:suff w:val="space"/>
      <w:lvlText w:val="第%1章 "/>
      <w:lvlJc w:val="left"/>
      <w:pPr>
        <w:ind w:left="0" w:firstLine="0"/>
      </w:pPr>
      <w:rPr>
        <w:rFonts w:hint="eastAsia"/>
        <w:b/>
        <w:sz w:val="44"/>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suff w:val="space"/>
      <w:lvlText w:val="%1.%2.%3.%4 "/>
      <w:lvlJc w:val="left"/>
      <w:pPr>
        <w:ind w:left="567" w:hanging="567"/>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suff w:val="space"/>
      <w:lvlText w:val="%1.%2.%3.%4.%5.%6"/>
      <w:lvlJc w:val="left"/>
      <w:pPr>
        <w:ind w:left="1152" w:hanging="1152"/>
      </w:pPr>
      <w:rPr>
        <w:rFonts w:hint="default" w:ascii="Times New Roman" w:hAnsi="Times New Roman" w:cs="Times New Roman"/>
      </w:rPr>
    </w:lvl>
    <w:lvl w:ilvl="6" w:tentative="0">
      <w:start w:val="1"/>
      <w:numFmt w:val="decimal"/>
      <w:suff w:val="space"/>
      <w:lvlText w:val="%1.%2.%3.%4.%5.%6.%7"/>
      <w:lvlJc w:val="left"/>
      <w:pPr>
        <w:ind w:left="1296" w:hanging="1296"/>
      </w:pPr>
      <w:rPr>
        <w:rFonts w:hint="eastAsia"/>
      </w:rPr>
    </w:lvl>
    <w:lvl w:ilvl="7" w:tentative="0">
      <w:start w:val="1"/>
      <w:numFmt w:val="decimal"/>
      <w:suff w:val="space"/>
      <w:lvlText w:val="%1.%2.%3.%4.%5.%6.%7.%8"/>
      <w:lvlJc w:val="left"/>
      <w:pPr>
        <w:ind w:left="1440" w:hanging="1440"/>
      </w:pPr>
      <w:rPr>
        <w:rFonts w:hint="default" w:ascii="Times New Roman" w:hAnsi="Times New Roman" w:cs="Times New Roman"/>
      </w:rPr>
    </w:lvl>
    <w:lvl w:ilvl="8" w:tentative="0">
      <w:start w:val="1"/>
      <w:numFmt w:val="decimal"/>
      <w:suff w:val="space"/>
      <w:lvlText w:val="%1.%2.%3.%4.%5.%6.%7.%8.%9"/>
      <w:lvlJc w:val="left"/>
      <w:pPr>
        <w:ind w:left="1584" w:hanging="1584"/>
      </w:pPr>
      <w:rPr>
        <w:rFonts w:hint="default" w:ascii="Times New Roman" w:hAnsi="Times New Roman"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41DBF"/>
    <w:rsid w:val="013B1E77"/>
    <w:rsid w:val="07991B57"/>
    <w:rsid w:val="08E41DBF"/>
    <w:rsid w:val="0A701583"/>
    <w:rsid w:val="0F265482"/>
    <w:rsid w:val="0F6E57A0"/>
    <w:rsid w:val="141315F5"/>
    <w:rsid w:val="161333B1"/>
    <w:rsid w:val="18834C51"/>
    <w:rsid w:val="1B063FED"/>
    <w:rsid w:val="1BD73D15"/>
    <w:rsid w:val="1C03155A"/>
    <w:rsid w:val="1D583D16"/>
    <w:rsid w:val="1E287125"/>
    <w:rsid w:val="20C964AF"/>
    <w:rsid w:val="221A4ABF"/>
    <w:rsid w:val="22D56FAA"/>
    <w:rsid w:val="247F2568"/>
    <w:rsid w:val="254675E0"/>
    <w:rsid w:val="27803111"/>
    <w:rsid w:val="2EE42161"/>
    <w:rsid w:val="32A55202"/>
    <w:rsid w:val="361A38CA"/>
    <w:rsid w:val="36555FC4"/>
    <w:rsid w:val="372925DF"/>
    <w:rsid w:val="3F8E1D8E"/>
    <w:rsid w:val="41011A47"/>
    <w:rsid w:val="426A4902"/>
    <w:rsid w:val="4586209D"/>
    <w:rsid w:val="48F27F14"/>
    <w:rsid w:val="4A6C58C3"/>
    <w:rsid w:val="4D79548A"/>
    <w:rsid w:val="4E090894"/>
    <w:rsid w:val="4F2D409C"/>
    <w:rsid w:val="508735CA"/>
    <w:rsid w:val="538D7D66"/>
    <w:rsid w:val="53F56819"/>
    <w:rsid w:val="54BE1EF4"/>
    <w:rsid w:val="568A3800"/>
    <w:rsid w:val="58AB78C4"/>
    <w:rsid w:val="5E617A03"/>
    <w:rsid w:val="603E2D81"/>
    <w:rsid w:val="611A0BA9"/>
    <w:rsid w:val="61523D78"/>
    <w:rsid w:val="63B5450E"/>
    <w:rsid w:val="64D90E52"/>
    <w:rsid w:val="66155443"/>
    <w:rsid w:val="66803FED"/>
    <w:rsid w:val="6A053AA3"/>
    <w:rsid w:val="6BE31F5C"/>
    <w:rsid w:val="6E0A3290"/>
    <w:rsid w:val="6E0B4961"/>
    <w:rsid w:val="6FCF4D04"/>
    <w:rsid w:val="76BF5A72"/>
    <w:rsid w:val="783B3068"/>
    <w:rsid w:val="795E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5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5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59"/>
    <w:pPr>
      <w:keepNext/>
      <w:keepLines/>
      <w:spacing w:before="340" w:after="330" w:line="578" w:lineRule="auto"/>
      <w:outlineLvl w:val="0"/>
    </w:pPr>
    <w:rPr>
      <w:b/>
      <w:bCs/>
      <w:kern w:val="44"/>
      <w:sz w:val="44"/>
      <w:szCs w:val="44"/>
      <w:lang w:val="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unhideWhenUsed/>
    <w:uiPriority w:val="5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customStyle="1" w:styleId="6">
    <w:name w:val="正文内容"/>
    <w:basedOn w:val="1"/>
    <w:qFormat/>
    <w:uiPriority w:val="5"/>
    <w:pPr>
      <w:adjustRightInd w:val="0"/>
      <w:spacing w:line="360" w:lineRule="auto"/>
      <w:ind w:firstLine="200" w:firstLineChars="200"/>
    </w:pPr>
    <w:rPr>
      <w:sz w:val="24"/>
      <w:lang w:val="zh-CN"/>
    </w:rPr>
  </w:style>
  <w:style w:type="paragraph" w:customStyle="1" w:styleId="7">
    <w:name w:val="1 级标题"/>
    <w:basedOn w:val="8"/>
    <w:next w:val="6"/>
    <w:qFormat/>
    <w:uiPriority w:val="0"/>
    <w:pPr>
      <w:pageBreakBefore/>
      <w:wordWrap w:val="0"/>
      <w:ind w:right="13"/>
    </w:pPr>
  </w:style>
  <w:style w:type="paragraph" w:customStyle="1" w:styleId="8">
    <w:name w:val="1级标题"/>
    <w:basedOn w:val="2"/>
    <w:locked/>
    <w:uiPriority w:val="49"/>
    <w:pPr>
      <w:numPr>
        <w:ilvl w:val="0"/>
        <w:numId w:val="1"/>
      </w:numPr>
      <w:spacing w:before="120" w:after="120" w:line="360" w:lineRule="auto"/>
      <w:ind w:right="27" w:rightChars="13"/>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2019-10-24T06:43:00Z</dcterms:created>
  <dc:creator>Terry</dc:creator>
  <cp:lastModifiedBy>悠悠的风</cp:lastModifiedBy>
  <dcterms:modified xsi:type="dcterms:W3CDTF">2019-10-28T09:03:52Z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