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1891">
      <w:pPr>
        <w:spacing w:line="480" w:lineRule="auto"/>
        <w:ind w:left="500" w:leftChars="238" w:firstLine="0" w:firstLineChars="0"/>
        <w:jc w:val="center"/>
        <w:rPr>
          <w:rFonts w:hint="eastAsia" w:asciiTheme="minorEastAsia" w:hAnsiTheme="minorEastAsia" w:cstheme="minorEastAsia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32"/>
          <w:szCs w:val="32"/>
          <w:u w:val="none"/>
        </w:rPr>
        <w:t>深圳市第二实验学校初中部</w:t>
      </w:r>
      <w:r>
        <w:rPr>
          <w:rFonts w:hint="eastAsia" w:asciiTheme="minorEastAsia" w:hAnsiTheme="minorEastAsia" w:cstheme="minorEastAsia"/>
          <w:spacing w:val="6"/>
          <w:sz w:val="32"/>
          <w:szCs w:val="32"/>
          <w:u w:val="none"/>
          <w:lang w:val="en-US" w:eastAsia="zh-CN"/>
        </w:rPr>
        <w:t>建（构）筑物</w:t>
      </w:r>
      <w:r>
        <w:rPr>
          <w:rFonts w:hint="eastAsia" w:asciiTheme="minorEastAsia" w:hAnsiTheme="minorEastAsia" w:eastAsiaTheme="minorEastAsia" w:cstheme="minorEastAsia"/>
          <w:spacing w:val="6"/>
          <w:sz w:val="32"/>
          <w:szCs w:val="32"/>
          <w:u w:val="none"/>
          <w:lang w:val="en-US" w:eastAsia="zh-CN"/>
        </w:rPr>
        <w:t>防雷</w:t>
      </w:r>
      <w:r>
        <w:rPr>
          <w:rFonts w:hint="eastAsia" w:asciiTheme="minorEastAsia" w:hAnsiTheme="minorEastAsia" w:cstheme="minorEastAsia"/>
          <w:spacing w:val="6"/>
          <w:sz w:val="32"/>
          <w:szCs w:val="32"/>
          <w:u w:val="none"/>
          <w:lang w:val="en-US" w:eastAsia="zh-CN"/>
        </w:rPr>
        <w:t>装置</w:t>
      </w:r>
    </w:p>
    <w:p w14:paraId="1CF39D57">
      <w:pPr>
        <w:spacing w:line="480" w:lineRule="auto"/>
        <w:ind w:left="500" w:leftChars="238" w:firstLine="0" w:firstLineChars="0"/>
        <w:jc w:val="center"/>
        <w:rPr>
          <w:rFonts w:hint="eastAsia" w:asciiTheme="minorEastAsia" w:hAnsiTheme="minorEastAsia" w:eastAsiaTheme="minorEastAsia" w:cstheme="minorEastAsia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32"/>
          <w:szCs w:val="32"/>
          <w:u w:val="none"/>
          <w:lang w:val="en-US" w:eastAsia="zh-CN"/>
        </w:rPr>
        <w:t>检测项目需求</w:t>
      </w:r>
    </w:p>
    <w:p w14:paraId="3DD66BE1">
      <w:pPr>
        <w:spacing w:line="480" w:lineRule="auto"/>
        <w:jc w:val="left"/>
        <w:rPr>
          <w:rFonts w:hint="default" w:asciiTheme="minorEastAsia" w:hAnsiTheme="minorEastAsia" w:eastAsiaTheme="minorEastAsia" w:cstheme="minorEastAsia"/>
          <w:spacing w:val="6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val="en-US" w:eastAsia="zh-CN"/>
        </w:rPr>
        <w:t>一、项目概况</w:t>
      </w:r>
    </w:p>
    <w:p w14:paraId="30C82528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1.项目单位：深圳市第二实验学校</w:t>
      </w:r>
    </w:p>
    <w:p w14:paraId="6FE2186E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2.建筑类型：人员密集教育公共建筑，含教学楼、实验楼、宿舍楼、体育馆、食堂、门卫、屋面附属构筑物、室外体育设施、配电房、弱电机房等全域建筑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6B1E7165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3.防雷类别：按深圳地方标准DB4403/T 84.2-2023、GB50057，划定第二类、第三类防雷建筑物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338FC5E1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4.检测周期：常规每年1次（雷雨季节前完成）；实验室、弱电机房、配电房每半年专项复检；雷击、台风、建筑改扩建后立即应急检测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22FD4CA2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5.执行标准</w:t>
      </w:r>
    </w:p>
    <w:p w14:paraId="527F7E19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DB4403/T 84.2-2023《深圳雷电防护安全要求及检测规范第2部分：学校》</w:t>
      </w:r>
    </w:p>
    <w:p w14:paraId="1B3E63B6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GB50057-2010《建筑物防雷设计规范》</w:t>
      </w:r>
    </w:p>
    <w:p w14:paraId="558A5EFF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GB/T21431-2023《建筑物防雷装置检测技术规范》</w:t>
      </w:r>
    </w:p>
    <w:p w14:paraId="37105EEB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QX/T230-2014《中小学校雷电防护技术规范》</w:t>
      </w:r>
    </w:p>
    <w:p w14:paraId="12C73D0C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深圳市气象局防雷管理相关规定</w:t>
      </w:r>
    </w:p>
    <w:p w14:paraId="63E5A7BB">
      <w:pPr>
        <w:spacing w:line="480" w:lineRule="auto"/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二、项目预算：26000.00元</w:t>
      </w:r>
    </w:p>
    <w:p w14:paraId="60E20B52">
      <w:pPr>
        <w:spacing w:line="480" w:lineRule="auto"/>
        <w:rPr>
          <w:rFonts w:hint="default" w:asciiTheme="minorEastAsia" w:hAnsiTheme="minorEastAsia" w:cstheme="minorEastAsia"/>
          <w:spacing w:val="6"/>
          <w:sz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三、建筑面积：78871平方米</w:t>
      </w:r>
    </w:p>
    <w:p w14:paraId="629D49EE">
      <w:pPr>
        <w:spacing w:line="480" w:lineRule="auto"/>
        <w:ind w:left="504" w:hanging="504" w:hangingChars="20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、服务资质要求</w:t>
      </w:r>
    </w:p>
    <w:p w14:paraId="53187ED1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1.具备广东省气象主管部门核发正规防雷装置检测甲级/乙级资质，在深圳备案有效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235AB395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2.检测人员持证上岗、仪器合规检定且在有效期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0BA83CEB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3.可出具深圳市认可、教育局/气象局存档有效正式防雷检测合格报告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78E0ACD2">
      <w:pPr>
        <w:spacing w:line="480" w:lineRule="auto"/>
        <w:ind w:left="504" w:hanging="504" w:hangingChars="20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、检测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（</w:t>
      </w:r>
      <w:bookmarkStart w:id="0" w:name="_GoBack"/>
      <w:bookmarkEnd w:id="0"/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初中部校园含碧波大厦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全覆盖无遗漏）</w:t>
      </w:r>
    </w:p>
    <w:p w14:paraId="05A7852F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（一）外部防雷系统（直击雷防护）</w:t>
      </w:r>
    </w:p>
    <w:p w14:paraId="4C439AAD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1.接闪器：屋面接闪带、接闪网、接闪杆、金属屋面、屋面风机/管道/天线；核查布置、网格尺寸、防腐、焊接牢固、规格、保护范围、电气连通性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等；</w:t>
      </w:r>
    </w:p>
    <w:p w14:paraId="6CE15E85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2.引下线：明敷/暗敷引下线、屋面金属构件引下、间距、防腐、断接卡、连接过渡电阻、防侧击雷措施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等；</w:t>
      </w:r>
    </w:p>
    <w:p w14:paraId="26793A8C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3.接地装置：人工接地网、基础钢筋接地、接地埋深≥0.8m、焊接质量、锈蚀情况、接地电阻实测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等。（1）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防雷接地电阻：≤10Ω；深圳高雷区域≤4Ω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；（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电气保护接地：≤4Ω；机房弱电接地：≤1Ω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31B2C9FB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（二）内部防雷系统（感应雷+浪涌防护）</w:t>
      </w:r>
    </w:p>
    <w:p w14:paraId="55C4814B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1.等电位联结：楼层总等电位、局部等电位、金属门窗、管道、桥架、设备外壳、电梯、幕墙钢结构全域等电位连通检测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30CC2A70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2.电源SPD浪涌保护器：高低压配电房、楼层配电箱、教室总箱、机房一级/二级/三级SPD；核查型号、安装、接线、残压、漏电流、老化失效、接地引线长度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11C72F02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3.信号线路防雷：校园网络、监控、广播、安防、教学弱电线路SPD、屏蔽接地、线路防雷隔离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3D517E43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（三）校园重点特殊场所专项必检</w:t>
      </w:r>
    </w:p>
    <w:p w14:paraId="4E6C4683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1.理化实验室（易燃易爆试剂）、危化品存放间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4A623ED9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2.计算机网络中心、安防监控机房、广播机房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7C1D269D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3.体育馆大跨度屋面、高空外露金属设施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631DAF14">
      <w:pPr>
        <w:spacing w:line="480" w:lineRule="auto"/>
        <w:ind w:firstLine="504" w:firstLineChars="20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4.室外旗杆、篮球架、体育看台、围墙金属构件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24B0140E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5.地下室配电、给排水金属管道全域接地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3B5E4A24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（四）资料核查与现场复核</w:t>
      </w:r>
    </w:p>
    <w:p w14:paraId="1B7E6376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1.原有防雷图纸、竣工资料、历年检测报告、隐蔽工程记录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1B9AD24F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2.建筑改扩建、屋面改造、设备新增后防雷合规复核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558039AB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3.隐患点位标注、现场拍照存档、异常数据复测核验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6682E5C2">
      <w:pPr>
        <w:spacing w:line="480" w:lineRule="auto"/>
        <w:ind w:left="504" w:hanging="504" w:hangingChars="20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、检测作业安全与校方配合要求</w:t>
      </w:r>
    </w:p>
    <w:p w14:paraId="004A85C8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1.错峰检测：避开上课、课间、学生集中活动时段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53923534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2.严格校园安保、高空作业安全规范，不影响教学秩序、不触碰校园涉密设施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257359E5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3.做好高空屋面、配电区域安全警示，配备全套绝缘防护用具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19E0A13A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4.校方配合开门、提供图纸、配合现场点位核验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3C2515AC">
      <w:pPr>
        <w:spacing w:line="480" w:lineRule="auto"/>
        <w:ind w:left="504" w:hanging="504" w:hangingChars="20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、成果交付要求</w:t>
      </w:r>
    </w:p>
    <w:p w14:paraId="5394764F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1.现场原始检测记录表、现场影像资料全套归档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6218C6CE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2.正式防雷装置检测合格/不合格报告书一式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份，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供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学校存档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使用；</w:t>
      </w:r>
    </w:p>
    <w:p w14:paraId="3F069C0F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3.隐患清单+整改建议方案、整改复检闭环服务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7D6475F0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4.全年防雷安全技术咨询、雷雨季节防雷风险预警配合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p w14:paraId="28F05D66">
      <w:pPr>
        <w:spacing w:line="480" w:lineRule="auto"/>
        <w:ind w:left="504" w:hanging="504" w:hangingChars="200"/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</w:pPr>
      <w:r>
        <w:rPr>
          <w:rFonts w:hint="eastAsia" w:asciiTheme="minorEastAsia" w:hAnsiTheme="minorEastAsia" w:cstheme="minorEastAsia"/>
          <w:spacing w:val="6"/>
          <w:sz w:val="24"/>
          <w:u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、服务期限与验收</w:t>
      </w:r>
    </w:p>
    <w:p w14:paraId="3FE14B7A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1.合同签订后15个工作日内完成全域现场检测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3D9E5877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2.检测完成5个工作日内提交正式报告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；</w:t>
      </w:r>
    </w:p>
    <w:p w14:paraId="5313722A">
      <w:pPr>
        <w:spacing w:line="480" w:lineRule="auto"/>
        <w:ind w:left="500" w:leftChars="238" w:firstLine="0" w:firstLineChars="0"/>
        <w:rPr>
          <w:rFonts w:hint="eastAsia" w:asciiTheme="minorEastAsia" w:hAnsiTheme="minorEastAsia" w:eastAsiaTheme="minorEastAsia" w:cstheme="minorEastAsia"/>
          <w:spacing w:val="6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u w:val="none"/>
        </w:rPr>
        <w:t>3.按深圳教育局、气象局防雷年检归档要求验收合格</w:t>
      </w:r>
      <w:r>
        <w:rPr>
          <w:rFonts w:hint="eastAsia" w:asciiTheme="minorEastAsia" w:hAnsiTheme="minorEastAsia" w:cstheme="minorEastAsia"/>
          <w:spacing w:val="6"/>
          <w:sz w:val="24"/>
          <w:u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D3575"/>
    <w:rsid w:val="040D3575"/>
    <w:rsid w:val="22EA7B20"/>
    <w:rsid w:val="25893620"/>
    <w:rsid w:val="60EE1FAE"/>
    <w:rsid w:val="7EE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4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2026-04-10T05:04:00Z</dcterms:created>
  <dc:creator>任国强</dc:creator>
  <cp:lastModifiedBy>任国强</cp:lastModifiedBy>
  <cp:lastPrinted>2026-04-10T06:34:01Z</cp:lastPrinted>
  <dcterms:modified xsi:type="dcterms:W3CDTF">2026-04-10T08:06:51Z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CC41BA278AC14FEB8F1E204DCA12C865_11</vt:lpwstr>
  </property>
  <property fmtid="{D5CDD505-2E9C-101B-9397-08002B2CF9AE}" pid="4" name="KSOTemplateDocerSaveRecord">
    <vt:lpwstr>eyJoZGlkIjoiNDBhYThjYTA2MGZiOWE3YzM5OWE4MGY3OTNmNjExZjQiLCJ1c2VySWQiOiIxNjM2NzUzOTc2In0=</vt:lpwstr>
  </property>
</Properties>
</file>